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13C" w:rsidRDefault="0087613C" w:rsidP="0087613C">
      <w:pPr>
        <w:spacing w:line="320" w:lineRule="exact"/>
        <w:ind w:left="1603" w:hangingChars="572" w:hanging="1603"/>
        <w:rPr>
          <w:rFonts w:ascii="新細明體" w:hAnsi="新細明體"/>
          <w:b/>
          <w:sz w:val="28"/>
          <w:szCs w:val="28"/>
        </w:rPr>
      </w:pPr>
      <w:r>
        <w:rPr>
          <w:rFonts w:ascii="新細明體" w:hAnsi="新細明體" w:hint="eastAsia"/>
          <w:b/>
          <w:sz w:val="28"/>
          <w:szCs w:val="28"/>
        </w:rPr>
        <w:t>附件一：78</w:t>
      </w:r>
      <w:proofErr w:type="gramStart"/>
      <w:r>
        <w:rPr>
          <w:rFonts w:ascii="新細明體" w:hAnsi="新細明體" w:hint="eastAsia"/>
          <w:b/>
          <w:sz w:val="28"/>
          <w:szCs w:val="28"/>
        </w:rPr>
        <w:t>國警示</w:t>
      </w:r>
      <w:proofErr w:type="gramEnd"/>
      <w:r>
        <w:rPr>
          <w:rFonts w:ascii="新細明體" w:hAnsi="新細明體" w:hint="eastAsia"/>
          <w:b/>
          <w:sz w:val="28"/>
          <w:szCs w:val="28"/>
        </w:rPr>
        <w:t>圖文面積統計表</w:t>
      </w:r>
    </w:p>
    <w:p w:rsidR="0087613C" w:rsidRDefault="0087613C" w:rsidP="0087613C">
      <w:pPr>
        <w:spacing w:line="320" w:lineRule="exact"/>
        <w:ind w:left="1258" w:hangingChars="572" w:hanging="1258"/>
        <w:rPr>
          <w:rFonts w:ascii="新細明體" w:hAnsi="新細明體"/>
          <w:sz w:val="22"/>
          <w:szCs w:val="22"/>
        </w:rPr>
      </w:pPr>
    </w:p>
    <w:tbl>
      <w:tblPr>
        <w:tblW w:w="8804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1"/>
        <w:gridCol w:w="992"/>
        <w:gridCol w:w="6521"/>
      </w:tblGrid>
      <w:tr w:rsidR="0087613C" w:rsidTr="0087613C">
        <w:trPr>
          <w:trHeight w:val="324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ind w:rightChars="-11" w:right="-26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正反面平均面積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國家數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國家</w:t>
            </w:r>
          </w:p>
        </w:tc>
      </w:tr>
      <w:tr w:rsidR="0087613C" w:rsidTr="0087613C">
        <w:trPr>
          <w:trHeight w:val="40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80%以上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13C" w:rsidRDefault="0087613C">
            <w:pPr>
              <w:widowControl/>
              <w:spacing w:line="440" w:lineRule="exact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泰國、澳洲、尼泊爾、印度、烏拉圭</w:t>
            </w:r>
          </w:p>
        </w:tc>
      </w:tr>
      <w:tr w:rsidR="0087613C" w:rsidTr="0087613C">
        <w:trPr>
          <w:trHeight w:val="972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65~79%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13C" w:rsidRDefault="0087613C">
            <w:pPr>
              <w:widowControl/>
              <w:spacing w:line="440" w:lineRule="exact"/>
              <w:ind w:rightChars="47" w:right="113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加拿大、</w:t>
            </w:r>
            <w:proofErr w:type="gramStart"/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汶萊</w:t>
            </w:r>
            <w:proofErr w:type="gramEnd"/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、英國、愛爾蘭、法國、德國、土耳其、土庫曼、模里西斯、墨西哥、委瑞內拉、厄瓜多爾、牙買加、斯里蘭卡、庫克群島、斐濟、紐西蘭</w:t>
            </w:r>
          </w:p>
        </w:tc>
      </w:tr>
      <w:tr w:rsidR="0087613C" w:rsidTr="0087613C">
        <w:trPr>
          <w:trHeight w:val="1992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50~64%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13C" w:rsidRDefault="0087613C">
            <w:pPr>
              <w:widowControl/>
              <w:spacing w:line="440" w:lineRule="exact"/>
              <w:ind w:rightChars="47" w:right="113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納米比亞、比利時、列支敦斯登、瑞士、馬來西亞、索羅門群島、阿根廷、巴林、玻利維亞、智利、哥斯大黎加、吉布地、埃及、薩爾瓦多、宏都拉斯、香港、伊朗、科威特、澳門、馬達加斯加、蒙古、阿曼、巴拿馬、祕魯、菲律賓、卡達、沙烏地阿拉伯、賽席爾、新加坡、蘇利南、千里達及托巴哥、烏克蘭、阿拉伯聯合大公國、越南、葉門、巴西</w:t>
            </w:r>
          </w:p>
        </w:tc>
      </w:tr>
      <w:tr w:rsidR="0087613C" w:rsidTr="0087613C">
        <w:trPr>
          <w:trHeight w:val="744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36~49%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13C" w:rsidRDefault="0087613C">
            <w:pPr>
              <w:widowControl/>
              <w:spacing w:line="440" w:lineRule="exact"/>
              <w:ind w:rightChars="47" w:right="113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根西島、匈牙利、冰島、澤西島、拉脫維亞、挪威、羅馬尼亞、西班牙、約旦、印度尼西亞、哈薩克、巴基斯坦、俄羅斯、馬爾他</w:t>
            </w:r>
          </w:p>
        </w:tc>
      </w:tr>
      <w:tr w:rsidR="0087613C" w:rsidTr="0087613C">
        <w:trPr>
          <w:trHeight w:val="64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35%以下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7613C" w:rsidRDefault="0087613C">
            <w:pPr>
              <w:widowControl/>
              <w:spacing w:line="440" w:lineRule="exact"/>
              <w:jc w:val="center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13C" w:rsidRDefault="0087613C">
            <w:pPr>
              <w:widowControl/>
              <w:spacing w:line="440" w:lineRule="exact"/>
              <w:rPr>
                <w:rFonts w:ascii="新細明體" w:hAnsi="新細明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新細明體" w:hint="eastAsia"/>
                <w:b/>
                <w:bCs/>
                <w:color w:val="000000"/>
                <w:kern w:val="0"/>
                <w:sz w:val="28"/>
                <w:szCs w:val="28"/>
              </w:rPr>
              <w:t>35%-</w:t>
            </w:r>
            <w:r>
              <w:rPr>
                <w:rFonts w:ascii="新細明體" w:hAnsi="新細明體" w:cs="新細明體" w:hint="eastAsia"/>
                <w:b/>
                <w:bCs/>
                <w:color w:val="000000"/>
                <w:kern w:val="0"/>
                <w:sz w:val="30"/>
                <w:szCs w:val="30"/>
              </w:rPr>
              <w:t>台灣</w:t>
            </w:r>
            <w:r>
              <w:rPr>
                <w:rFonts w:ascii="新細明體" w:hAnsi="新細明體" w:cs="新細明體" w:hint="eastAsia"/>
                <w:b/>
                <w:bCs/>
                <w:color w:val="000000"/>
                <w:kern w:val="0"/>
                <w:sz w:val="28"/>
                <w:szCs w:val="28"/>
              </w:rPr>
              <w:t>、丹麥、馬其頓、蒙特內哥羅</w:t>
            </w:r>
            <w:r>
              <w:rPr>
                <w:rFonts w:ascii="新細明體" w:hAnsi="新細明體" w:cs="新細明體" w:hint="eastAsia"/>
                <w:color w:val="000000"/>
                <w:kern w:val="0"/>
                <w:sz w:val="28"/>
                <w:szCs w:val="28"/>
              </w:rPr>
              <w:br/>
              <w:t>哥倫比亞、開曼群島</w:t>
            </w:r>
          </w:p>
        </w:tc>
      </w:tr>
    </w:tbl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 w:hint="eastAsia"/>
          <w:b/>
          <w:bCs/>
          <w:sz w:val="28"/>
          <w:szCs w:val="28"/>
        </w:rPr>
      </w:pPr>
    </w:p>
    <w:p w:rsidR="00D40149" w:rsidRDefault="00D40149" w:rsidP="00D40149">
      <w:pPr>
        <w:spacing w:line="320" w:lineRule="exact"/>
        <w:ind w:left="1603" w:hanging="1603"/>
        <w:rPr>
          <w:rFonts w:ascii="新細明體" w:hAnsi="新細明體"/>
          <w:b/>
          <w:bCs/>
          <w:sz w:val="28"/>
          <w:szCs w:val="28"/>
        </w:rPr>
      </w:pPr>
      <w:bookmarkStart w:id="0" w:name="_GoBack"/>
      <w:bookmarkEnd w:id="0"/>
      <w:r>
        <w:rPr>
          <w:rFonts w:ascii="新細明體" w:hAnsi="新細明體" w:hint="eastAsia"/>
          <w:b/>
          <w:bCs/>
          <w:sz w:val="28"/>
          <w:szCs w:val="28"/>
        </w:rPr>
        <w:lastRenderedPageBreak/>
        <w:t>附件二：78國警示圖文面積比例</w:t>
      </w:r>
    </w:p>
    <w:p w:rsidR="0087613C" w:rsidRPr="00D40149" w:rsidRDefault="00D40149" w:rsidP="00D40149">
      <w:pPr>
        <w:spacing w:beforeLines="50" w:before="180"/>
        <w:ind w:left="1258" w:hangingChars="572" w:hanging="1258"/>
        <w:rPr>
          <w:rFonts w:ascii="新細明體" w:hAnsi="新細明體" w:hint="eastAsia"/>
          <w:sz w:val="22"/>
          <w:szCs w:val="22"/>
        </w:rPr>
      </w:pPr>
      <w:r>
        <w:rPr>
          <w:rFonts w:ascii="新細明體" w:hAnsi="新細明體" w:hint="eastAsia"/>
          <w:noProof/>
          <w:sz w:val="22"/>
          <w:szCs w:val="22"/>
        </w:rPr>
        <w:drawing>
          <wp:inline distT="0" distB="0" distL="0" distR="0">
            <wp:extent cx="5274310" cy="3439160"/>
            <wp:effectExtent l="0" t="0" r="254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國家統計圖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149" w:rsidRDefault="00D40149" w:rsidP="0087613C">
      <w:pPr>
        <w:spacing w:beforeLines="50" w:before="180" w:line="320" w:lineRule="exact"/>
        <w:ind w:left="1258" w:hangingChars="572" w:hanging="1258"/>
        <w:rPr>
          <w:rFonts w:ascii="新細明體" w:hAnsi="新細明體"/>
          <w:sz w:val="22"/>
          <w:szCs w:val="22"/>
        </w:rPr>
      </w:pPr>
    </w:p>
    <w:p w:rsidR="0087613C" w:rsidRDefault="00D40149" w:rsidP="0087613C">
      <w:pPr>
        <w:spacing w:line="320" w:lineRule="exact"/>
        <w:ind w:left="1603" w:hangingChars="572" w:hanging="1603"/>
        <w:rPr>
          <w:rFonts w:ascii="新細明體" w:hAnsi="新細明體"/>
          <w:b/>
          <w:sz w:val="28"/>
          <w:szCs w:val="28"/>
        </w:rPr>
      </w:pPr>
      <w:r>
        <w:rPr>
          <w:rFonts w:ascii="新細明體" w:hAnsi="新細明體" w:hint="eastAsia"/>
          <w:b/>
          <w:sz w:val="28"/>
          <w:szCs w:val="28"/>
        </w:rPr>
        <w:t>附件</w:t>
      </w:r>
      <w:proofErr w:type="gramStart"/>
      <w:r>
        <w:rPr>
          <w:rFonts w:ascii="新細明體" w:hAnsi="新細明體" w:hint="eastAsia"/>
          <w:b/>
          <w:sz w:val="28"/>
          <w:szCs w:val="28"/>
        </w:rPr>
        <w:t>三</w:t>
      </w:r>
      <w:proofErr w:type="gramEnd"/>
      <w:r w:rsidR="0087613C">
        <w:rPr>
          <w:rFonts w:ascii="新細明體" w:hAnsi="新細明體" w:hint="eastAsia"/>
          <w:b/>
          <w:sz w:val="28"/>
          <w:szCs w:val="28"/>
        </w:rPr>
        <w:t>：</w:t>
      </w:r>
    </w:p>
    <w:p w:rsidR="0087613C" w:rsidRDefault="0087613C" w:rsidP="0087613C">
      <w:pPr>
        <w:pStyle w:val="Default"/>
        <w:spacing w:line="400" w:lineRule="exact"/>
        <w:ind w:left="2"/>
        <w:jc w:val="both"/>
        <w:rPr>
          <w:rFonts w:ascii="新細明體" w:eastAsia="新細明體" w:hAnsi="新細明體" w:cs="Times New Roman"/>
          <w:b/>
          <w:sz w:val="28"/>
          <w:szCs w:val="28"/>
        </w:rPr>
      </w:pPr>
      <w:r>
        <w:rPr>
          <w:rFonts w:ascii="新細明體" w:eastAsia="新細明體" w:hAnsi="新細明體" w:cs="Times New Roman" w:hint="eastAsia"/>
          <w:b/>
          <w:sz w:val="28"/>
          <w:szCs w:val="28"/>
        </w:rPr>
        <w:t>NGO促請政府推動符合WHO「菸草控制框架公約」全面修法，包含：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1.電子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使用納入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害防制法管制(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2.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品容器印製至少80%警示圖文(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3.禁止加味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4.禁止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品陳列展示(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5.室內公共及工作場所全面禁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6.</w:t>
      </w:r>
      <w:r>
        <w:rPr>
          <w:rFonts w:ascii="新細明體" w:hAnsi="新細明體" w:hint="eastAsia"/>
          <w:color w:val="000000"/>
          <w:kern w:val="24"/>
          <w:sz w:val="28"/>
          <w:szCs w:val="28"/>
        </w:rPr>
        <w:t>加重菸草產業違法廣告、促銷之罰則</w:t>
      </w:r>
      <w:r>
        <w:rPr>
          <w:rFonts w:ascii="新細明體" w:hAnsi="新細明體" w:hint="eastAsia"/>
          <w:sz w:val="28"/>
          <w:szCs w:val="28"/>
        </w:rPr>
        <w:t>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7.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品容器</w:t>
      </w:r>
      <w:proofErr w:type="gramStart"/>
      <w:r>
        <w:rPr>
          <w:rFonts w:ascii="新細明體" w:hAnsi="新細明體" w:hint="eastAsia"/>
          <w:sz w:val="28"/>
          <w:szCs w:val="28"/>
        </w:rPr>
        <w:t>採</w:t>
      </w:r>
      <w:proofErr w:type="gramEnd"/>
      <w:r>
        <w:rPr>
          <w:rFonts w:ascii="新細明體" w:hAnsi="新細明體" w:hint="eastAsia"/>
          <w:sz w:val="28"/>
          <w:szCs w:val="28"/>
        </w:rPr>
        <w:t>素面包裝(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8.</w:t>
      </w:r>
      <w:r>
        <w:rPr>
          <w:rFonts w:ascii="新細明體" w:hAnsi="新細明體" w:hint="eastAsia"/>
          <w:color w:val="000000"/>
          <w:kern w:val="24"/>
          <w:sz w:val="28"/>
          <w:szCs w:val="28"/>
        </w:rPr>
        <w:t>吸菸者年齡提高至21歲</w:t>
      </w:r>
      <w:r>
        <w:rPr>
          <w:rFonts w:ascii="新細明體" w:hAnsi="新細明體" w:hint="eastAsia"/>
          <w:sz w:val="28"/>
          <w:szCs w:val="28"/>
        </w:rPr>
        <w:t>(菸害防制法)</w:t>
      </w:r>
    </w:p>
    <w:p w:rsidR="0087613C" w:rsidRDefault="0087613C" w:rsidP="0087613C">
      <w:pPr>
        <w:spacing w:line="400" w:lineRule="exact"/>
        <w:jc w:val="both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color w:val="000000"/>
          <w:kern w:val="24"/>
          <w:sz w:val="28"/>
          <w:szCs w:val="28"/>
        </w:rPr>
        <w:t xml:space="preserve"> 9.</w:t>
      </w:r>
      <w:r>
        <w:rPr>
          <w:rFonts w:ascii="新細明體" w:hAnsi="新細明體" w:hint="eastAsia"/>
          <w:sz w:val="28"/>
          <w:szCs w:val="28"/>
        </w:rPr>
        <w:t>每包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加徵60元</w:t>
      </w:r>
      <w:proofErr w:type="gramStart"/>
      <w:r>
        <w:rPr>
          <w:rFonts w:ascii="新細明體" w:hAnsi="新細明體" w:hint="eastAsia"/>
          <w:sz w:val="28"/>
          <w:szCs w:val="28"/>
        </w:rPr>
        <w:t>菸</w:t>
      </w:r>
      <w:proofErr w:type="gramEnd"/>
      <w:r>
        <w:rPr>
          <w:rFonts w:ascii="新細明體" w:hAnsi="新細明體" w:hint="eastAsia"/>
          <w:sz w:val="28"/>
          <w:szCs w:val="28"/>
        </w:rPr>
        <w:t>稅(菸酒稅法)</w:t>
      </w:r>
    </w:p>
    <w:p w:rsidR="001427D5" w:rsidRPr="0087613C" w:rsidRDefault="0087613C" w:rsidP="0087613C">
      <w:pPr>
        <w:spacing w:line="400" w:lineRule="exact"/>
        <w:jc w:val="both"/>
        <w:rPr>
          <w:rFonts w:ascii="新細明體" w:hAnsi="新細明體"/>
          <w:sz w:val="22"/>
          <w:szCs w:val="22"/>
        </w:rPr>
      </w:pPr>
      <w:r>
        <w:rPr>
          <w:rFonts w:ascii="新細明體" w:hAnsi="新細明體" w:hint="eastAsia"/>
          <w:sz w:val="28"/>
          <w:szCs w:val="28"/>
        </w:rPr>
        <w:t xml:space="preserve"> 10.入境旅客僅可攜帶19支菸自用(菸酒稅法)</w:t>
      </w:r>
    </w:p>
    <w:sectPr w:rsidR="001427D5" w:rsidRPr="0087613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.褅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13C"/>
    <w:rsid w:val="001427D5"/>
    <w:rsid w:val="0087613C"/>
    <w:rsid w:val="00D4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13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613C"/>
    <w:pPr>
      <w:widowControl w:val="0"/>
      <w:autoSpaceDE w:val="0"/>
      <w:autoSpaceDN w:val="0"/>
      <w:adjustRightInd w:val="0"/>
    </w:pPr>
    <w:rPr>
      <w:rFonts w:ascii="新細明體.褅." w:eastAsia="新細明體.褅." w:hAnsi="Calibri" w:cs="新細明體.褅."/>
      <w:color w:val="000000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401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4014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13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613C"/>
    <w:pPr>
      <w:widowControl w:val="0"/>
      <w:autoSpaceDE w:val="0"/>
      <w:autoSpaceDN w:val="0"/>
      <w:adjustRightInd w:val="0"/>
    </w:pPr>
    <w:rPr>
      <w:rFonts w:ascii="新細明體.褅." w:eastAsia="新細明體.褅." w:hAnsi="Calibri" w:cs="新細明體.褅."/>
      <w:color w:val="000000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401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4014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2</cp:revision>
  <dcterms:created xsi:type="dcterms:W3CDTF">2016-05-30T07:47:00Z</dcterms:created>
  <dcterms:modified xsi:type="dcterms:W3CDTF">2016-05-30T08:03:00Z</dcterms:modified>
</cp:coreProperties>
</file>